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(offentliggøres)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 og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opstillede kandidater i kalenderåret 2024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C - Det Konservative Folkeparti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2024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2021 var opstillingsberettiget til folketingsvalg, skal oplysningerne også omfatte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23.600 kr. i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2024?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2024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2024?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2021 var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2024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(f.eks. direkte kontant, indbetalt på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kandidatens egen bankkonto eller i form af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naturalier) fra den samme private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tilsammen overstiger 23.600 kr. i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2024?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2024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2024?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 tilskud fra ukendte omfatter samtlige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opstillede kandidater, der er omfattet af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kandidatlistens indberetningspligt.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efter partistøtteloven og partiregnskabsloven. Ansøger har ret til at få at vide, hvilke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bookmarkStart w:id="0" w:name="_GoBack"/>
      <w:bookmarkEnd w:id="0"/>
      <w:r>
        <w:rPr>
          <w:rFonts w:ascii="Verdana" w:hAnsi="Verdana" w:cs="Verdana"/>
          <w:szCs w:val="20"/>
          <w:lang w:eastAsia="en-US"/>
        </w:rPr>
        <w:t>oplysninger rettet.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lastRenderedPageBreak/>
        <w:t>Organisationens/foreningens navn: Det Konservative Folkeparti i Frederikssund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Kommune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Jeg underskriver bilaget som: Repræsentant for partiorganisation/-forening</w:t>
      </w:r>
    </w:p>
    <w:p w:rsidR="001A4FCF" w:rsidRDefault="001A4FCF" w:rsidP="001A4FC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Dato 07-12-2025</w:t>
      </w:r>
    </w:p>
    <w:p w:rsidR="00196101" w:rsidRDefault="001A4FCF" w:rsidP="001A4FCF">
      <w:r>
        <w:rPr>
          <w:rFonts w:ascii="Verdana-Bold" w:hAnsi="Verdana-Bold" w:cs="Verdana-Bold"/>
          <w:b/>
          <w:bCs/>
          <w:szCs w:val="20"/>
          <w:lang w:eastAsia="en-US"/>
        </w:rPr>
        <w:t>Nicolai Pandorff</w:t>
      </w:r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CF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4FCF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C3BFD-E4DD-474B-A862-126F042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2026-03-16T09:08:00Z</dcterms:created>
  <dcterms:modified xsi:type="dcterms:W3CDTF">2026-03-16T09:10:00Z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